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69A4" w14:textId="5582AEB4" w:rsidR="00F464A4" w:rsidRPr="00F464A4" w:rsidRDefault="00AD7DF2" w:rsidP="00F464A4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Komentář </w:t>
      </w:r>
      <w:r w:rsidR="00F464A4">
        <w:rPr>
          <w:rFonts w:ascii="Invesco Interstate Bold" w:hAnsi="Invesco Interstate Bold"/>
          <w:b/>
          <w:bCs/>
          <w:sz w:val="24"/>
          <w:szCs w:val="24"/>
        </w:rPr>
        <w:t xml:space="preserve">Joela </w:t>
      </w:r>
      <w:proofErr w:type="spellStart"/>
      <w:r w:rsidR="00F464A4">
        <w:rPr>
          <w:rFonts w:ascii="Invesco Interstate Bold" w:hAnsi="Invesco Interstate Bold"/>
          <w:b/>
          <w:bCs/>
          <w:sz w:val="24"/>
          <w:szCs w:val="24"/>
        </w:rPr>
        <w:t>Copp-Bartona</w:t>
      </w:r>
      <w:proofErr w:type="spellEnd"/>
      <w:r w:rsidR="004C1FD4">
        <w:rPr>
          <w:rFonts w:ascii="Invesco Interstate Bold" w:hAnsi="Invesco Interstate Bold"/>
          <w:b/>
          <w:bCs/>
          <w:sz w:val="24"/>
          <w:szCs w:val="24"/>
        </w:rPr>
        <w:t>,</w:t>
      </w:r>
      <w:r w:rsidR="00F464A4">
        <w:rPr>
          <w:rFonts w:ascii="Invesco Interstate Bold" w:hAnsi="Invesco Interstate Bold"/>
          <w:b/>
          <w:bCs/>
          <w:sz w:val="24"/>
          <w:szCs w:val="24"/>
        </w:rPr>
        <w:t xml:space="preserve"> produktového ředitele společnosti</w:t>
      </w:r>
      <w:r w:rsidR="004C1FD4"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proofErr w:type="spellStart"/>
      <w:r w:rsidR="006A02AD"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 w:rsidR="006A02AD">
        <w:rPr>
          <w:rFonts w:ascii="Invesco Interstate Bold" w:hAnsi="Invesco Interstate Bold"/>
          <w:b/>
          <w:bCs/>
          <w:sz w:val="24"/>
          <w:szCs w:val="24"/>
        </w:rPr>
        <w:t xml:space="preserve">: </w:t>
      </w:r>
      <w:r w:rsidR="00F464A4">
        <w:rPr>
          <w:rFonts w:ascii="Invesco Interstate Bold" w:hAnsi="Invesco Interstate Bold"/>
          <w:b/>
          <w:bCs/>
          <w:sz w:val="24"/>
          <w:szCs w:val="24"/>
        </w:rPr>
        <w:t>Evropské akcie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r w:rsidRPr="00904172">
        <w:rPr>
          <w:rFonts w:ascii="Invesco Interstate Bold" w:hAnsi="Invesco Interstate Bold"/>
          <w:b/>
          <w:bCs/>
          <w:sz w:val="24"/>
          <w:szCs w:val="24"/>
        </w:rPr>
        <w:t>–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r w:rsidR="00F464A4">
        <w:rPr>
          <w:rFonts w:ascii="Invesco Interstate Bold" w:hAnsi="Invesco Interstate Bold"/>
          <w:b/>
          <w:bCs/>
          <w:sz w:val="24"/>
          <w:szCs w:val="24"/>
        </w:rPr>
        <w:t>Rozplétání tržní skepse</w:t>
      </w:r>
    </w:p>
    <w:p w14:paraId="44BFB7CC" w14:textId="77777777" w:rsidR="00F464A4" w:rsidRPr="00F464A4" w:rsidRDefault="00F464A4" w:rsidP="00F464A4">
      <w:pPr>
        <w:pStyle w:val="Odstavecseseznamem"/>
        <w:numPr>
          <w:ilvl w:val="0"/>
          <w:numId w:val="19"/>
        </w:numPr>
        <w:spacing w:before="100" w:beforeAutospacing="1" w:after="100" w:afterAutospacing="1"/>
        <w:contextualSpacing/>
        <w:jc w:val="both"/>
        <w:outlineLvl w:val="0"/>
        <w:rPr>
          <w:rFonts w:ascii="Invesco Interstate Light" w:eastAsia="Times New Roman" w:hAnsi="Invesco Interstate Light"/>
          <w:b/>
          <w:bCs/>
        </w:rPr>
      </w:pPr>
      <w:r w:rsidRPr="00F464A4">
        <w:rPr>
          <w:rFonts w:ascii="Invesco Interstate Light" w:eastAsia="Times New Roman" w:hAnsi="Invesco Interstate Light"/>
          <w:b/>
          <w:bCs/>
        </w:rPr>
        <w:t>Ekonomicky citlivé společnosti vydávají v současném složitém tržním prostředí stále více varování ohledně zisku.</w:t>
      </w:r>
    </w:p>
    <w:p w14:paraId="09FAF124" w14:textId="77777777" w:rsidR="00F464A4" w:rsidRPr="00F464A4" w:rsidRDefault="00F464A4" w:rsidP="00F464A4">
      <w:pPr>
        <w:pStyle w:val="Odstavecseseznamem"/>
        <w:numPr>
          <w:ilvl w:val="0"/>
          <w:numId w:val="19"/>
        </w:numPr>
        <w:spacing w:before="100" w:beforeAutospacing="1" w:after="100" w:afterAutospacing="1"/>
        <w:contextualSpacing/>
        <w:jc w:val="both"/>
        <w:outlineLvl w:val="0"/>
        <w:rPr>
          <w:rFonts w:ascii="Invesco Interstate Light" w:eastAsia="Times New Roman" w:hAnsi="Invesco Interstate Light"/>
          <w:b/>
          <w:bCs/>
        </w:rPr>
      </w:pPr>
      <w:r w:rsidRPr="00F464A4">
        <w:rPr>
          <w:rFonts w:ascii="Invesco Interstate Light" w:eastAsia="Times New Roman" w:hAnsi="Invesco Interstate Light"/>
          <w:b/>
          <w:bCs/>
        </w:rPr>
        <w:t>Trhy počítají s recesí v příštím roce, přičemž mnohé špatné zprávy jsou v cenách již započítány.</w:t>
      </w:r>
    </w:p>
    <w:p w14:paraId="7B01B85C" w14:textId="77777777" w:rsidR="00F464A4" w:rsidRPr="00F464A4" w:rsidRDefault="00F464A4" w:rsidP="00F464A4">
      <w:pPr>
        <w:pStyle w:val="Odstavecseseznamem"/>
        <w:numPr>
          <w:ilvl w:val="0"/>
          <w:numId w:val="19"/>
        </w:numPr>
        <w:spacing w:before="100" w:beforeAutospacing="1" w:after="100" w:afterAutospacing="1"/>
        <w:contextualSpacing/>
        <w:jc w:val="both"/>
        <w:outlineLvl w:val="0"/>
        <w:rPr>
          <w:rFonts w:ascii="Invesco Interstate Light" w:eastAsia="Times New Roman" w:hAnsi="Invesco Interstate Light"/>
          <w:b/>
          <w:bCs/>
        </w:rPr>
      </w:pPr>
      <w:r w:rsidRPr="00F464A4">
        <w:rPr>
          <w:rFonts w:ascii="Invesco Interstate Light" w:eastAsia="Times New Roman" w:hAnsi="Invesco Interstate Light"/>
          <w:b/>
          <w:bCs/>
        </w:rPr>
        <w:t>Současný pohled se soustředí na ekonomické problémy, avšak ignoruje střednědobé strukturální faktory a specifické strategie některých společností, které posouvají tyto společnosti k lepšímu.</w:t>
      </w:r>
    </w:p>
    <w:p w14:paraId="1F54F67C" w14:textId="2FC74D3E" w:rsidR="004C1FD4" w:rsidRPr="00F464A4" w:rsidRDefault="00F464A4" w:rsidP="00F464A4">
      <w:pPr>
        <w:pStyle w:val="Odstavecseseznamem"/>
        <w:numPr>
          <w:ilvl w:val="0"/>
          <w:numId w:val="19"/>
        </w:numPr>
        <w:spacing w:before="100" w:beforeAutospacing="1" w:after="100" w:afterAutospacing="1"/>
        <w:contextualSpacing/>
        <w:jc w:val="both"/>
        <w:outlineLvl w:val="0"/>
        <w:rPr>
          <w:rFonts w:ascii="Invesco Interstate Light" w:eastAsia="Times New Roman" w:hAnsi="Invesco Interstate Light"/>
          <w:b/>
          <w:bCs/>
        </w:rPr>
      </w:pPr>
      <w:r w:rsidRPr="00F464A4">
        <w:rPr>
          <w:rFonts w:ascii="Invesco Interstate Light" w:eastAsia="Times New Roman" w:hAnsi="Invesco Interstate Light"/>
          <w:b/>
          <w:bCs/>
        </w:rPr>
        <w:t xml:space="preserve">Přístup týmu společnosti </w:t>
      </w:r>
      <w:proofErr w:type="spellStart"/>
      <w:r w:rsidRPr="00F464A4">
        <w:rPr>
          <w:rFonts w:ascii="Invesco Interstate Light" w:eastAsia="Times New Roman" w:hAnsi="Invesco Interstate Light"/>
          <w:b/>
          <w:bCs/>
        </w:rPr>
        <w:t>Invesco</w:t>
      </w:r>
      <w:proofErr w:type="spellEnd"/>
      <w:r w:rsidRPr="00F464A4">
        <w:rPr>
          <w:rFonts w:ascii="Invesco Interstate Light" w:eastAsia="Times New Roman" w:hAnsi="Invesco Interstate Light"/>
          <w:b/>
          <w:bCs/>
        </w:rPr>
        <w:t xml:space="preserve"> spočívá ve vyhledávání společností, které mají potenciál a ochotu měnit se k lepšímu. Zjistili jsme, že trhy mají problém ocenit společnosti, které procházejí změnou nebo tím, co nazýváme přechodem. To se projevuje spoustou anomálií v jejich ocenění, což lze využít.</w:t>
      </w:r>
    </w:p>
    <w:p w14:paraId="0102CB1E" w14:textId="77777777" w:rsidR="00F464A4" w:rsidRDefault="00F464A4" w:rsidP="00F464A4">
      <w:pPr>
        <w:spacing w:before="100" w:beforeAutospacing="1" w:afterAutospacing="1"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F464A4">
        <w:rPr>
          <w:rFonts w:ascii="Invesco Interstate Light" w:hAnsi="Invesco Interstate Light"/>
          <w:sz w:val="22"/>
          <w:szCs w:val="22"/>
        </w:rPr>
        <w:t>Trhy se v současné době potýkají se spoustou dalších změn, například s vysokou inflací a rostoucími úrokovými sazbami – a s jejich potenciálními důsledky pro ekonomiku a korporátní zisky. Lepší pochopení toho, co v současné době trhy promítají do cen, lze využít při vyhledávání příležitostí, které se na trhu objevují. Nyní začínáme pozorovat zisková varování u ekonomicky citlivějších společností, a to v důsledku kombinace slabší než očekávané koncové poptávky a vyšších nákladů.</w:t>
      </w:r>
    </w:p>
    <w:p w14:paraId="02231193" w14:textId="3B4CC919" w:rsidR="00F464A4" w:rsidRPr="00F464A4" w:rsidRDefault="00F464A4" w:rsidP="00F464A4">
      <w:pPr>
        <w:spacing w:before="100" w:beforeAutospacing="1" w:afterAutospacing="1"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F464A4">
        <w:rPr>
          <w:rFonts w:ascii="Invesco Interstate Light" w:hAnsi="Invesco Interstate Light"/>
          <w:sz w:val="22"/>
          <w:szCs w:val="22"/>
        </w:rPr>
        <w:t xml:space="preserve">Příklady jsou společnosti </w:t>
      </w:r>
      <w:proofErr w:type="spellStart"/>
      <w:r w:rsidRPr="00F464A4">
        <w:rPr>
          <w:rFonts w:ascii="Invesco Interstate Light" w:hAnsi="Invesco Interstate Light"/>
          <w:sz w:val="22"/>
          <w:szCs w:val="22"/>
        </w:rPr>
        <w:t>Kion</w:t>
      </w:r>
      <w:proofErr w:type="spellEnd"/>
      <w:r w:rsidRPr="00F464A4">
        <w:rPr>
          <w:rFonts w:ascii="Invesco Interstate Light" w:hAnsi="Invesco Interstate Light"/>
          <w:sz w:val="22"/>
          <w:szCs w:val="22"/>
        </w:rPr>
        <w:t xml:space="preserve"> a Electrolux nebo společnost SKF, jež rovněž čelí problémům s odbytem. Pro trh, který již delší dobu trápí sílící ekonomická rizika a nákladová inflace, což vedlo k poklesu evropských akcií od počátku roku o 20 % v eurovém vyjádření (resp. o 31 % v dolarovém), to není žádné překvapení. Ovšem</w:t>
      </w:r>
      <w:r>
        <w:rPr>
          <w:rFonts w:ascii="Invesco Interstate Light" w:hAnsi="Invesco Interstate Light"/>
          <w:sz w:val="22"/>
          <w:szCs w:val="22"/>
        </w:rPr>
        <w:t>,</w:t>
      </w:r>
      <w:r w:rsidRPr="00F464A4">
        <w:rPr>
          <w:rFonts w:ascii="Invesco Interstate Light" w:hAnsi="Invesco Interstate Light"/>
          <w:sz w:val="22"/>
          <w:szCs w:val="22"/>
        </w:rPr>
        <w:t xml:space="preserve"> jak už to, tak bývá, zisková očekávání zatím sražena nebyla (konsensus stále očekává mírný růst zisku na akcii v roce 2023), což zkresluje současné ocenění.</w:t>
      </w:r>
    </w:p>
    <w:p w14:paraId="764B76FA" w14:textId="77777777" w:rsidR="00F464A4" w:rsidRDefault="00955782" w:rsidP="00F464A4">
      <w:pPr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Co </w:t>
      </w:r>
      <w:r w:rsidR="00F464A4">
        <w:rPr>
          <w:rFonts w:ascii="Invesco Interstate Bold" w:hAnsi="Invesco Interstate Bold"/>
          <w:b/>
          <w:bCs/>
          <w:sz w:val="24"/>
          <w:szCs w:val="24"/>
        </w:rPr>
        <w:t>nám tržní ceny říkají o současném ocenění?</w:t>
      </w:r>
    </w:p>
    <w:p w14:paraId="1B9E569A" w14:textId="77777777" w:rsidR="00F464A4" w:rsidRDefault="00F464A4" w:rsidP="00F464A4">
      <w:pPr>
        <w:rPr>
          <w:rFonts w:ascii="Invesco Interstate Bold" w:hAnsi="Invesco Interstate Bold"/>
          <w:b/>
          <w:bCs/>
          <w:sz w:val="24"/>
          <w:szCs w:val="24"/>
        </w:rPr>
      </w:pPr>
    </w:p>
    <w:p w14:paraId="5CA83685" w14:textId="67A8D8E5" w:rsidR="00F464A4" w:rsidRDefault="00F464A4" w:rsidP="00F464A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F464A4">
        <w:rPr>
          <w:rFonts w:ascii="Invesco Interstate Light" w:hAnsi="Invesco Interstate Light"/>
          <w:i/>
          <w:iCs/>
          <w:sz w:val="22"/>
          <w:szCs w:val="22"/>
        </w:rPr>
        <w:t>„To je klíčová otázka, kterou si nyní klademe. Rozhodující pro její zodpovězení je posoudit, jak by mohly vypadat zisky v náročnějším ekonomickém prostředí a zda následné ocenění vypadá přiměřeně (nebo ne),“</w:t>
      </w:r>
      <w:r w:rsidRPr="00F464A4">
        <w:rPr>
          <w:rFonts w:ascii="Invesco Interstate Light" w:hAnsi="Invesco Interstate Light"/>
          <w:sz w:val="22"/>
          <w:szCs w:val="22"/>
        </w:rPr>
        <w:t xml:space="preserve"> říká Joel </w:t>
      </w:r>
      <w:proofErr w:type="spellStart"/>
      <w:r w:rsidRPr="00F464A4">
        <w:rPr>
          <w:rFonts w:ascii="Invesco Interstate Light" w:hAnsi="Invesco Interstate Light"/>
          <w:sz w:val="22"/>
          <w:szCs w:val="22"/>
        </w:rPr>
        <w:t>Copp-Barton</w:t>
      </w:r>
      <w:proofErr w:type="spellEnd"/>
      <w:r w:rsidRPr="00F464A4">
        <w:rPr>
          <w:rFonts w:ascii="Invesco Interstate Light" w:hAnsi="Invesco Interstate Light"/>
          <w:sz w:val="22"/>
          <w:szCs w:val="22"/>
        </w:rPr>
        <w:t xml:space="preserve">, produktový ředitel společnosti </w:t>
      </w:r>
      <w:proofErr w:type="spellStart"/>
      <w:r w:rsidRPr="00F464A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F464A4">
        <w:rPr>
          <w:rFonts w:ascii="Invesco Interstate Light" w:hAnsi="Invesco Interstate Light"/>
          <w:sz w:val="22"/>
          <w:szCs w:val="22"/>
        </w:rPr>
        <w:t>.</w:t>
      </w:r>
    </w:p>
    <w:p w14:paraId="449416FC" w14:textId="77777777" w:rsidR="00F464A4" w:rsidRPr="00F464A4" w:rsidRDefault="00F464A4" w:rsidP="00F464A4">
      <w:pPr>
        <w:spacing w:before="100" w:beforeAutospacing="1" w:afterAutospacing="1"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F464A4">
        <w:rPr>
          <w:rFonts w:ascii="Invesco Interstate Light" w:hAnsi="Invesco Interstate Light"/>
          <w:i/>
          <w:iCs/>
          <w:sz w:val="22"/>
          <w:szCs w:val="22"/>
        </w:rPr>
        <w:t>„Abychom se přiblížili odpovědi, použili jsme „top-</w:t>
      </w:r>
      <w:proofErr w:type="spellStart"/>
      <w:r w:rsidRPr="00F464A4">
        <w:rPr>
          <w:rFonts w:ascii="Invesco Interstate Light" w:hAnsi="Invesco Interstate Light"/>
          <w:i/>
          <w:iCs/>
          <w:sz w:val="22"/>
          <w:szCs w:val="22"/>
        </w:rPr>
        <w:t>down</w:t>
      </w:r>
      <w:proofErr w:type="spellEnd"/>
      <w:r w:rsidRPr="00F464A4">
        <w:rPr>
          <w:rFonts w:ascii="Invesco Interstate Light" w:hAnsi="Invesco Interstate Light"/>
          <w:i/>
          <w:iCs/>
          <w:sz w:val="22"/>
          <w:szCs w:val="22"/>
        </w:rPr>
        <w:t>“ model sestavený společností Morgan Stanley, který s využitím našich předpokladů naznačuje, jak by mohly vypadat zisky v roce 2023. K tomu jsou zapotřebí různé vstupy, včetně reálného HDP podle regionů, komodity a měnové kurzy. Tím získáme odhad zisku (E) pro rok 2023. Použitím současných cen akcií (P) na zisky v roce 2023 pak můžeme vypočítat tržní poměr PE a porovnat tento násobek s dlouhodobým průměrem</w:t>
      </w:r>
      <w:r w:rsidRPr="00F464A4">
        <w:rPr>
          <w:rFonts w:ascii="Invesco Interstate Light" w:hAnsi="Invesco Interstate Light"/>
          <w:sz w:val="22"/>
          <w:szCs w:val="22"/>
        </w:rPr>
        <w:t xml:space="preserve">,“ doplňuje Joel </w:t>
      </w:r>
      <w:proofErr w:type="spellStart"/>
      <w:r w:rsidRPr="00F464A4">
        <w:rPr>
          <w:rFonts w:ascii="Invesco Interstate Light" w:hAnsi="Invesco Interstate Light"/>
          <w:sz w:val="22"/>
          <w:szCs w:val="22"/>
        </w:rPr>
        <w:t>Copp-Barton</w:t>
      </w:r>
      <w:proofErr w:type="spellEnd"/>
      <w:r w:rsidRPr="00F464A4">
        <w:rPr>
          <w:rFonts w:ascii="Invesco Interstate Light" w:hAnsi="Invesco Interstate Light"/>
          <w:sz w:val="22"/>
          <w:szCs w:val="22"/>
        </w:rPr>
        <w:t>.</w:t>
      </w:r>
    </w:p>
    <w:p w14:paraId="3F8FE0A6" w14:textId="1E330CB6" w:rsidR="00F464A4" w:rsidRDefault="00F464A4" w:rsidP="00D07ACC">
      <w:pPr>
        <w:spacing w:before="100" w:beforeAutospacing="1" w:afterAutospacing="1"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D07ACC">
        <w:rPr>
          <w:rFonts w:ascii="Invesco Interstate Light" w:hAnsi="Invesco Interstate Light"/>
          <w:sz w:val="22"/>
          <w:szCs w:val="22"/>
        </w:rPr>
        <w:t>Tento model poskytuje užitečné vodítko pro odhad budoucích zisků, ale nemusí nutně zachytit všechny relevantní vlivy/hybné síly. Panuje také předpoklad, že model založený na historických korelacích funguje dobře v prostředí vysoké inflace, jako fungoval v převážně dezinflačním světě posledního desetiletí. Vzhledem k tomu, že se model spoléhá na reálný HDP jako na klíčový vstup, diskutuje se také o tom, zda je vysoká inflace ve výnosech správně zachycena.</w:t>
      </w:r>
    </w:p>
    <w:p w14:paraId="02301B97" w14:textId="0CBD321A" w:rsidR="00535242" w:rsidRPr="00D07ACC" w:rsidRDefault="00D07ACC" w:rsidP="00D07ACC">
      <w:pPr>
        <w:spacing w:before="100" w:beforeAutospacing="1" w:afterAutospacing="1"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D07ACC">
        <w:rPr>
          <w:rFonts w:ascii="Invesco Interstate Light" w:hAnsi="Invesco Interstate Light"/>
          <w:sz w:val="22"/>
          <w:szCs w:val="22"/>
        </w:rPr>
        <w:lastRenderedPageBreak/>
        <w:t xml:space="preserve">Stejně tak by mohl být podceněn dopad rostoucích výnosů státních dluhopisů na zisky v sektorech citlivých na úrokové sazby, jako jsou banky. </w:t>
      </w:r>
      <w:r w:rsidRPr="00D07ACC">
        <w:rPr>
          <w:rFonts w:ascii="Invesco Interstate Light" w:hAnsi="Invesco Interstate Light"/>
          <w:i/>
          <w:iCs/>
          <w:sz w:val="22"/>
          <w:szCs w:val="22"/>
        </w:rPr>
        <w:t>„Podle nás je racionální očekávat v roce 2023 vyšší zisky bank, než jaké předpovídají analytici, kteří vycházejí z odhadů „</w:t>
      </w:r>
      <w:proofErr w:type="spellStart"/>
      <w:r w:rsidRPr="00D07ACC">
        <w:rPr>
          <w:rFonts w:ascii="Invesco Interstate Light" w:hAnsi="Invesco Interstate Light"/>
          <w:i/>
          <w:iCs/>
          <w:sz w:val="22"/>
          <w:szCs w:val="22"/>
        </w:rPr>
        <w:t>bottom</w:t>
      </w:r>
      <w:proofErr w:type="spellEnd"/>
      <w:r w:rsidRPr="00D07ACC">
        <w:rPr>
          <w:rFonts w:ascii="Invesco Interstate Light" w:hAnsi="Invesco Interstate Light"/>
          <w:i/>
          <w:iCs/>
          <w:sz w:val="22"/>
          <w:szCs w:val="22"/>
        </w:rPr>
        <w:t>-up“ a to i v náročnější ekonomické situaci. Podle našeho názoru není ani tento efekt v takovém modelu plně zahrnut,“</w:t>
      </w:r>
      <w:r w:rsidRPr="00D07ACC">
        <w:rPr>
          <w:rFonts w:ascii="Invesco Interstate Light" w:hAnsi="Invesco Interstate Light"/>
          <w:sz w:val="22"/>
          <w:szCs w:val="22"/>
        </w:rPr>
        <w:t xml:space="preserve"> vysvětluje Joel </w:t>
      </w:r>
      <w:proofErr w:type="spellStart"/>
      <w:r w:rsidRPr="00D07ACC">
        <w:rPr>
          <w:rFonts w:ascii="Invesco Interstate Light" w:hAnsi="Invesco Interstate Light"/>
          <w:sz w:val="22"/>
          <w:szCs w:val="22"/>
        </w:rPr>
        <w:t>Copp-Barton</w:t>
      </w:r>
      <w:proofErr w:type="spellEnd"/>
      <w:r w:rsidRPr="00D07ACC">
        <w:rPr>
          <w:rFonts w:ascii="Invesco Interstate Light" w:hAnsi="Invesco Interstate Light"/>
          <w:sz w:val="22"/>
          <w:szCs w:val="22"/>
        </w:rPr>
        <w:t>.</w:t>
      </w:r>
    </w:p>
    <w:p w14:paraId="48C32C7C" w14:textId="573179B3" w:rsidR="00A01129" w:rsidRDefault="00D07ACC" w:rsidP="00A01129">
      <w:pPr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Předpoklady společnosti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při odhadu zisků na rok 2023:</w:t>
      </w:r>
    </w:p>
    <w:p w14:paraId="3196D0B7" w14:textId="01D1CEFB" w:rsidR="00714270" w:rsidRDefault="00714270" w:rsidP="00A01129">
      <w:pPr>
        <w:rPr>
          <w:rFonts w:ascii="Invesco Interstate Bold" w:hAnsi="Invesco Interstate Bold"/>
          <w:b/>
          <w:bCs/>
          <w:sz w:val="24"/>
          <w:szCs w:val="24"/>
        </w:rPr>
      </w:pPr>
    </w:p>
    <w:p w14:paraId="68FE2622" w14:textId="0CBDD575" w:rsidR="00714270" w:rsidRPr="00714270" w:rsidRDefault="00D07ACC" w:rsidP="0071427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Invesco Interstate Light" w:hAnsi="Invesco Interstate Light"/>
        </w:rPr>
      </w:pPr>
      <w:r w:rsidRPr="007519D9">
        <w:rPr>
          <w:rFonts w:ascii="Invesco Interstate Light" w:hAnsi="Invesco Interstate Light"/>
          <w:b/>
          <w:bCs/>
        </w:rPr>
        <w:t>Ekonomika:</w:t>
      </w:r>
      <w:r>
        <w:rPr>
          <w:rFonts w:ascii="Invesco Interstate Light" w:hAnsi="Invesco Interstate Light"/>
        </w:rPr>
        <w:t xml:space="preserve"> Mimo eurozónu používáme konsenzuální ekonomické prognózy HDP. Pro eurozónu počítáme s více medvědím scénářem. Proč? V současné podobě existuje velký rozdíl mezi vyššími náklady na energie, které mají absorbovat domácnosti/podniky (5 % HDP), a pomocí</w:t>
      </w:r>
      <w:r w:rsidR="009D5909">
        <w:rPr>
          <w:rFonts w:ascii="Invesco Interstate Light" w:hAnsi="Invesco Interstate Light"/>
        </w:rPr>
        <w:t>,</w:t>
      </w:r>
      <w:r>
        <w:rPr>
          <w:rFonts w:ascii="Invesco Interstate Light" w:hAnsi="Invesco Interstate Light"/>
        </w:rPr>
        <w:t xml:space="preserve"> kterou poskytují vlády jednotlivých zemí (3 % HDP).</w:t>
      </w:r>
    </w:p>
    <w:p w14:paraId="5E50FC52" w14:textId="1F708354" w:rsidR="00D07ACC" w:rsidRPr="00D07ACC" w:rsidRDefault="00D07ACC" w:rsidP="00D07ACC">
      <w:pPr>
        <w:pStyle w:val="Odstavecseseznamem"/>
        <w:numPr>
          <w:ilvl w:val="0"/>
          <w:numId w:val="18"/>
        </w:numPr>
        <w:spacing w:before="100" w:beforeAutospacing="1" w:afterAutospacing="1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>Evropští politici minulý týden oznámili další stimul v hodnotě přibližně 1 % HDP. Nelze vyloučit ani další pomoc na národní anebo evropské úrovni. Konzervativně počítáme s reálným poklesem HDP</w:t>
      </w:r>
      <w:r w:rsidR="009D5909">
        <w:rPr>
          <w:rFonts w:ascii="Invesco Interstate Light" w:hAnsi="Invesco Interstate Light"/>
          <w:vertAlign w:val="superscript"/>
        </w:rPr>
        <w:t xml:space="preserve"> </w:t>
      </w:r>
      <w:r>
        <w:rPr>
          <w:rFonts w:ascii="Invesco Interstate Light" w:hAnsi="Invesco Interstate Light"/>
        </w:rPr>
        <w:t>v roce 2023 o 1 % (rozdělený na 2% pokles HDP v 1. pololetí a následnou meziroční stagnaci ve 2. pololetí). Pro srovnání, konsenzus se dnes blíží +1 %.</w:t>
      </w:r>
    </w:p>
    <w:p w14:paraId="6ECE762C" w14:textId="4A7DEF10" w:rsidR="004F19B4" w:rsidRDefault="00D07ACC" w:rsidP="004F19B4">
      <w:pPr>
        <w:pStyle w:val="Odstavecseseznamem"/>
        <w:numPr>
          <w:ilvl w:val="0"/>
          <w:numId w:val="18"/>
        </w:numPr>
        <w:spacing w:before="100" w:beforeAutospacing="1" w:afterAutospacing="1" w:line="276" w:lineRule="auto"/>
        <w:jc w:val="both"/>
        <w:rPr>
          <w:rFonts w:ascii="Invesco Interstate Light" w:hAnsi="Invesco Interstate Light"/>
        </w:rPr>
      </w:pPr>
      <w:r w:rsidRPr="007519D9">
        <w:rPr>
          <w:rFonts w:ascii="Invesco Interstate Light" w:hAnsi="Invesco Interstate Light"/>
          <w:b/>
          <w:bCs/>
        </w:rPr>
        <w:t>Komodity</w:t>
      </w:r>
      <w:r w:rsidR="006E25CE" w:rsidRPr="007519D9">
        <w:rPr>
          <w:rFonts w:ascii="Invesco Interstate Light" w:hAnsi="Invesco Interstate Light"/>
          <w:b/>
          <w:bCs/>
        </w:rPr>
        <w:t>:</w:t>
      </w:r>
      <w:r w:rsidR="006E25CE">
        <w:rPr>
          <w:rFonts w:ascii="Invesco Interstate Light" w:hAnsi="Invesco Interstate Light"/>
        </w:rPr>
        <w:t xml:space="preserve"> Používáme forwardové ceny předpokládané v „</w:t>
      </w:r>
      <w:proofErr w:type="spellStart"/>
      <w:r w:rsidR="006E25CE">
        <w:rPr>
          <w:rFonts w:ascii="Invesco Interstate Light" w:hAnsi="Invesco Interstate Light"/>
        </w:rPr>
        <w:t>bottom</w:t>
      </w:r>
      <w:proofErr w:type="spellEnd"/>
      <w:r w:rsidR="006E25CE">
        <w:rPr>
          <w:rFonts w:ascii="Invesco Interstate Light" w:hAnsi="Invesco Interstate Light"/>
        </w:rPr>
        <w:t>-up“ prognózách analytiků. Oproti dosavadním letošním průměrným cenám jsou mírně nižší.</w:t>
      </w:r>
    </w:p>
    <w:p w14:paraId="31761884" w14:textId="2FD8E5B3" w:rsidR="00546EA4" w:rsidRDefault="006E25CE" w:rsidP="00546EA4">
      <w:pPr>
        <w:pStyle w:val="Odstavecseseznamem"/>
        <w:numPr>
          <w:ilvl w:val="0"/>
          <w:numId w:val="18"/>
        </w:numPr>
        <w:spacing w:before="100" w:beforeAutospacing="1" w:afterAutospacing="1" w:line="276" w:lineRule="auto"/>
        <w:jc w:val="both"/>
        <w:rPr>
          <w:rFonts w:ascii="Invesco Interstate Light" w:hAnsi="Invesco Interstate Light"/>
        </w:rPr>
      </w:pPr>
      <w:r w:rsidRPr="007519D9">
        <w:rPr>
          <w:rFonts w:ascii="Invesco Interstate Light" w:hAnsi="Invesco Interstate Light"/>
          <w:b/>
          <w:bCs/>
        </w:rPr>
        <w:t>FX:</w:t>
      </w:r>
      <w:r>
        <w:rPr>
          <w:rFonts w:ascii="Invesco Interstate Light" w:hAnsi="Invesco Interstate Light"/>
        </w:rPr>
        <w:t xml:space="preserve"> Vzhledem k volatilitě měn jsme do budoucna vycházeli ze současných spotových kurzů.</w:t>
      </w:r>
    </w:p>
    <w:p w14:paraId="07E31E8F" w14:textId="569E2320" w:rsidR="00D85243" w:rsidRDefault="006E25CE" w:rsidP="00D85243">
      <w:pPr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Co to znamená pro zisky v roce 2023?</w:t>
      </w:r>
    </w:p>
    <w:p w14:paraId="38560F0D" w14:textId="7D85F157" w:rsidR="006E25CE" w:rsidRPr="006E25CE" w:rsidRDefault="006E25CE" w:rsidP="006E25CE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t xml:space="preserve">Celkově analýza společnosti </w:t>
      </w:r>
      <w:proofErr w:type="spellStart"/>
      <w:r w:rsidRPr="006E25CE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6E25CE">
        <w:rPr>
          <w:rFonts w:ascii="Invesco Interstate Light" w:eastAsiaTheme="minorEastAsia" w:hAnsi="Invesco Interstate Light"/>
          <w:sz w:val="22"/>
          <w:szCs w:val="22"/>
        </w:rPr>
        <w:t xml:space="preserve"> ukazuje na meziroční pokles zisku na akcii (EPS) v roce 2023 až o 20 %. Jde zřejmě o mnohem realističtější cifru než malý nárůst, jaký v současnosti předpokládá konsenzus. Přesto by tento model mohl znevýhodnit sektory, jako jsou banky, u nichž je stále pravděpodobné, že v příštím roce dojde k růstu zisků díky vyšším sazbám. To by mohlo znamenat, že se ziskům bude dařit </w:t>
      </w:r>
      <w:proofErr w:type="gramStart"/>
      <w:r w:rsidRPr="006E25CE">
        <w:rPr>
          <w:rFonts w:ascii="Invesco Interstate Light" w:eastAsiaTheme="minorEastAsia" w:hAnsi="Invesco Interstate Light"/>
          <w:sz w:val="22"/>
          <w:szCs w:val="22"/>
        </w:rPr>
        <w:t>lépe</w:t>
      </w:r>
      <w:proofErr w:type="gramEnd"/>
      <w:r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Pr="006E25CE">
        <w:rPr>
          <w:rFonts w:ascii="Invesco Interstate Light" w:eastAsiaTheme="minorEastAsia" w:hAnsi="Invesco Interstate Light"/>
          <w:sz w:val="22"/>
          <w:szCs w:val="22"/>
        </w:rPr>
        <w:t>než naznačuje model.</w:t>
      </w:r>
    </w:p>
    <w:p w14:paraId="7B6D60F0" w14:textId="77777777" w:rsidR="006E25CE" w:rsidRDefault="006E25CE" w:rsidP="006E25CE">
      <w:pPr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Co tento scénář znamená pro ocenění při dnešní tržní úrovni?</w:t>
      </w:r>
    </w:p>
    <w:p w14:paraId="54467F92" w14:textId="77777777" w:rsidR="006E25CE" w:rsidRDefault="006E25CE" w:rsidP="006E25CE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t xml:space="preserve">Na konci září se index MSCI </w:t>
      </w:r>
      <w:proofErr w:type="spellStart"/>
      <w:r w:rsidRPr="006E25CE">
        <w:rPr>
          <w:rFonts w:ascii="Invesco Interstate Light" w:eastAsiaTheme="minorEastAsia" w:hAnsi="Invesco Interstate Light"/>
          <w:sz w:val="22"/>
          <w:szCs w:val="22"/>
        </w:rPr>
        <w:t>Europe</w:t>
      </w:r>
      <w:proofErr w:type="spellEnd"/>
      <w:r w:rsidRPr="006E25CE">
        <w:rPr>
          <w:rFonts w:ascii="Invesco Interstate Light" w:eastAsiaTheme="minorEastAsia" w:hAnsi="Invesco Interstate Light"/>
          <w:sz w:val="22"/>
          <w:szCs w:val="22"/>
        </w:rPr>
        <w:t xml:space="preserve"> nacházel na poměru PE (2022) přibližně 11x. Pokles zisků o 20 % v roce 2023, jak naznačuje model, znamená pro rok 2023 poměr PE přibližně 14x. Jinými slovy, poměr PE se příliš neliší od dlouhodobého průměru </w:t>
      </w:r>
      <w:proofErr w:type="gramStart"/>
      <w:r w:rsidRPr="006E25CE">
        <w:rPr>
          <w:rFonts w:ascii="Invesco Interstate Light" w:eastAsiaTheme="minorEastAsia" w:hAnsi="Invesco Interstate Light"/>
          <w:sz w:val="22"/>
          <w:szCs w:val="22"/>
        </w:rPr>
        <w:t>14-15x</w:t>
      </w:r>
      <w:proofErr w:type="gramEnd"/>
      <w:r w:rsidRPr="006E25CE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0283B3F4" w14:textId="119B5409" w:rsidR="006E25CE" w:rsidRPr="006E25CE" w:rsidRDefault="006E25CE" w:rsidP="006E25CE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t>Trhy obecně počítají s recesí v příštím roce, což znamená, že výsledné ocenění vypadá přibližně správně. Na obecné úrovni není ani levné, ani drahé ve srovnání s historií.</w:t>
      </w:r>
    </w:p>
    <w:p w14:paraId="2A952FC3" w14:textId="6F13D14F" w:rsidR="006E25CE" w:rsidRDefault="006E25CE" w:rsidP="008D3B4E">
      <w:pPr>
        <w:spacing w:before="100" w:beforeAutospacing="1" w:afterAutospacing="1"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A co na úrovni odvětví?</w:t>
      </w:r>
    </w:p>
    <w:p w14:paraId="6C8CFE2B" w14:textId="240F19CD" w:rsidR="006E25CE" w:rsidRDefault="006E25CE" w:rsidP="006E25CE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t>Při posuzování jednotlivých odvětví se zdá, že trhy výrazně diskontují určité oblasti. Aby bylo jasno, vycházíme z aktuálních očekávání sektorových zisků. Například u energetiky a materiálů se PE pro rok 2023 pohybuje na úrovni 5x a 10x (u námi vlastněných titulů je to méně), což již zohledňuje prudký pokles zisků mezi 15-20 %. Jinými slovy, současné ocenění anticipuje řadu špatných zpráv.</w:t>
      </w:r>
    </w:p>
    <w:p w14:paraId="7B783C04" w14:textId="47993960" w:rsidR="006E25CE" w:rsidRDefault="006E25CE" w:rsidP="006E25CE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lastRenderedPageBreak/>
        <w:t>Banky se obchodují na historicky velmi nízkém PE 7x, a přesto jsou jedním z mála sektorů, kde stále dochází ke zvyšování zisků. Důležité je, že dobrá kapitalizace by jim měla poskytnout významnou ochranu před zhoršujícím se makroekonomickým prostředím.</w:t>
      </w:r>
    </w:p>
    <w:p w14:paraId="4E617D54" w14:textId="0FD7703F" w:rsidR="006E25CE" w:rsidRDefault="006E25CE" w:rsidP="006E25CE">
      <w:pPr>
        <w:spacing w:before="100" w:beforeAutospacing="1" w:afterAutospacing="1"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Riziko nebo příležitost?</w:t>
      </w:r>
    </w:p>
    <w:p w14:paraId="4CA4BF4E" w14:textId="240F1236" w:rsidR="006E25CE" w:rsidRDefault="006E25CE" w:rsidP="006E25CE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t>Podle nás by současné ocenění těchto sektorů bylo ospravedlnitelné pouze v případě, že by se výhled od této chvíle výrazně zhoršil – mnohem víc než úroveň HDP, kterou jsme předpokládali ve výše uvedeném scénáři. Kdyby se však výhled skutečně takto podstatně zhoršil, bylo by chybou předpokládat, že by politici, a to jak na národní úrovni, tak na úrovni EU, nečinně přihlíželi.</w:t>
      </w:r>
    </w:p>
    <w:p w14:paraId="08A6DBB3" w14:textId="2224D8AB" w:rsidR="006E25CE" w:rsidRDefault="006E25CE" w:rsidP="006E25CE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t xml:space="preserve">Nezapomínejte: v reakci na pandemii politici uvolnili fiskální pravidla a současně dali vzniknout fondu obnovy – významnému dlouhodobému investičnímu plánu. Níže jsou uvedeny sektorové poměry PE k dnešnímu dni v porovnání s jejich desetiletou historií. </w:t>
      </w:r>
    </w:p>
    <w:p w14:paraId="521D2779" w14:textId="6E9FD559" w:rsidR="006E25CE" w:rsidRDefault="006E25CE" w:rsidP="006E25CE">
      <w:pPr>
        <w:spacing w:before="100" w:beforeAutospacing="1" w:afterAutospacing="1"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Graf: Rozmezí ocenění evropských sektorů a stylů v časovém horizontu 10 let (12měsíční forwardové PE x) – Evropa </w:t>
      </w:r>
    </w:p>
    <w:p w14:paraId="7A98CCA5" w14:textId="2244B8DA" w:rsidR="006E25CE" w:rsidRPr="00A824BA" w:rsidRDefault="00A824BA" w:rsidP="00A824BA">
      <w:pPr>
        <w:spacing w:before="100" w:beforeAutospacing="1" w:afterAutospacing="1"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noProof/>
          <w:sz w:val="24"/>
          <w:szCs w:val="24"/>
        </w:rPr>
        <w:drawing>
          <wp:inline distT="0" distB="0" distL="0" distR="0" wp14:anchorId="7061ED3A" wp14:editId="3DE548E8">
            <wp:extent cx="6108065" cy="305435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A969C" w14:textId="7642F71E" w:rsidR="00A824BA" w:rsidRPr="00A824BA" w:rsidRDefault="00A824BA" w:rsidP="00A824BA">
      <w:pPr>
        <w:spacing w:before="100" w:beforeAutospacing="1" w:after="100" w:afterAutospacing="1" w:line="276" w:lineRule="auto"/>
        <w:jc w:val="right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Zdroj: </w:t>
      </w:r>
      <w:proofErr w:type="spellStart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Goldman</w:t>
      </w:r>
      <w:proofErr w:type="spellEnd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Sachs</w:t>
      </w:r>
      <w:proofErr w:type="spellEnd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Global</w:t>
      </w:r>
      <w:proofErr w:type="spellEnd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Investment</w:t>
      </w:r>
      <w:proofErr w:type="spellEnd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Research</w:t>
      </w:r>
      <w:proofErr w:type="spellEnd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, </w:t>
      </w:r>
      <w:proofErr w:type="spellStart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Stoxx</w:t>
      </w:r>
      <w:proofErr w:type="spellEnd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Europe</w:t>
      </w:r>
      <w:proofErr w:type="spellEnd"/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, </w:t>
      </w:r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20</w:t>
      </w:r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.</w:t>
      </w:r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>září</w:t>
      </w:r>
      <w:r w:rsidRPr="00A824B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2022.</w:t>
      </w:r>
    </w:p>
    <w:p w14:paraId="26492E43" w14:textId="77777777" w:rsidR="006E25CE" w:rsidRDefault="006E25CE" w:rsidP="006E25CE">
      <w:pPr>
        <w:spacing w:before="100" w:beforeAutospacing="1" w:afterAutospacing="1"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Příležitosti uprostřed problémů</w:t>
      </w:r>
    </w:p>
    <w:p w14:paraId="62389026" w14:textId="77777777" w:rsidR="006E25CE" w:rsidRDefault="006E25CE" w:rsidP="006E25CE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t xml:space="preserve">Klíčové je pro </w:t>
      </w:r>
      <w:proofErr w:type="spellStart"/>
      <w:r w:rsidRPr="006E25CE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6E25CE">
        <w:rPr>
          <w:rFonts w:ascii="Invesco Interstate Light" w:eastAsiaTheme="minorEastAsia" w:hAnsi="Invesco Interstate Light"/>
          <w:sz w:val="22"/>
          <w:szCs w:val="22"/>
        </w:rPr>
        <w:t xml:space="preserve"> ocenění – co již v ceny obsahují a co ceny ignorují. </w:t>
      </w:r>
      <w:r w:rsidRPr="006E25CE">
        <w:rPr>
          <w:rFonts w:ascii="Invesco Interstate Light" w:eastAsiaTheme="minorEastAsia" w:hAnsi="Invesco Interstate Light"/>
          <w:i/>
          <w:iCs/>
          <w:sz w:val="22"/>
          <w:szCs w:val="22"/>
        </w:rPr>
        <w:t>„Vždy přemýšlíme nad tím, jak by měla daná společnost vypadat v budoucnu, a jaká opatření zavádí, aby splnila své cíle,“</w:t>
      </w:r>
      <w:r w:rsidRPr="006E25CE">
        <w:rPr>
          <w:rFonts w:ascii="Invesco Interstate Light" w:eastAsiaTheme="minorEastAsia" w:hAnsi="Invesco Interstate Light"/>
          <w:sz w:val="22"/>
          <w:szCs w:val="22"/>
        </w:rPr>
        <w:t xml:space="preserve"> uzavírá Joel </w:t>
      </w:r>
      <w:proofErr w:type="spellStart"/>
      <w:r w:rsidRPr="006E25CE">
        <w:rPr>
          <w:rFonts w:ascii="Invesco Interstate Light" w:eastAsiaTheme="minorEastAsia" w:hAnsi="Invesco Interstate Light"/>
          <w:sz w:val="22"/>
          <w:szCs w:val="22"/>
        </w:rPr>
        <w:t>Copp-Barton</w:t>
      </w:r>
      <w:proofErr w:type="spellEnd"/>
      <w:r w:rsidRPr="006E25CE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76D460E9" w14:textId="77777777" w:rsidR="006E25CE" w:rsidRDefault="006E25CE" w:rsidP="006E25CE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lastRenderedPageBreak/>
        <w:t>Trhy se v současné době přehnaně soustředí na ekonomické problémy, čímž dochází k diskontu sektorů i konkrétních společností. Mnohem menší důraz se klade na střednědobé strukturální faktory a strategie konkrétních společností, které povedou k jejich lepšímu hospodaření.</w:t>
      </w:r>
    </w:p>
    <w:p w14:paraId="09BE3BEE" w14:textId="1EB4DD43" w:rsidR="00252413" w:rsidRPr="00214390" w:rsidRDefault="006E25CE" w:rsidP="00214390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E25CE">
        <w:rPr>
          <w:rFonts w:ascii="Invesco Interstate Light" w:eastAsiaTheme="minorEastAsia" w:hAnsi="Invesco Interstate Light"/>
          <w:sz w:val="22"/>
          <w:szCs w:val="22"/>
        </w:rPr>
        <w:t>To vzhledem k nedávným výprodejům poskytuje příležitosti – a v některých případech za skutečně zajímavé ceny.</w:t>
      </w:r>
    </w:p>
    <w:p w14:paraId="7C334F37" w14:textId="2ACEA8F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CEFA5D0" w14:textId="146CAA2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- jsou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AC00E0C" w14:textId="77777777" w:rsidR="002355DD" w:rsidRPr="00873CBF" w:rsidRDefault="002355DD" w:rsidP="002355DD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4E7D96B" w14:textId="77777777" w:rsidR="002355DD" w:rsidRPr="00873CBF" w:rsidRDefault="002355DD" w:rsidP="002355DD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22D43DA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2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3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C413" w14:textId="77777777" w:rsidR="006A41B1" w:rsidRDefault="006A41B1">
      <w:r>
        <w:separator/>
      </w:r>
    </w:p>
  </w:endnote>
  <w:endnote w:type="continuationSeparator" w:id="0">
    <w:p w14:paraId="6D640637" w14:textId="77777777" w:rsidR="006A41B1" w:rsidRDefault="006A41B1">
      <w:r>
        <w:continuationSeparator/>
      </w:r>
    </w:p>
  </w:endnote>
  <w:endnote w:type="continuationNotice" w:id="1">
    <w:p w14:paraId="4DD6A5C1" w14:textId="77777777" w:rsidR="006A41B1" w:rsidRDefault="006A41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A3C1" w14:textId="77777777" w:rsidR="006A41B1" w:rsidRDefault="006A41B1">
      <w:r>
        <w:separator/>
      </w:r>
    </w:p>
  </w:footnote>
  <w:footnote w:type="continuationSeparator" w:id="0">
    <w:p w14:paraId="4ED9C0BC" w14:textId="77777777" w:rsidR="006A41B1" w:rsidRDefault="006A41B1">
      <w:r>
        <w:continuationSeparator/>
      </w:r>
    </w:p>
  </w:footnote>
  <w:footnote w:type="continuationNotice" w:id="1">
    <w:p w14:paraId="79E8B1A7" w14:textId="77777777" w:rsidR="006A41B1" w:rsidRDefault="006A41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59A5D358">
      <w:rPr>
        <w:rFonts w:ascii="Invesco Interstate Bold" w:hAnsi="Invesco Interstate Bold"/>
        <w:sz w:val="28"/>
        <w:szCs w:val="28"/>
      </w:rPr>
      <w:t>Press</w:t>
    </w:r>
    <w:proofErr w:type="spellEnd"/>
    <w:r w:rsidR="59A5D358">
      <w:rPr>
        <w:rFonts w:ascii="Invesco Interstate Bold" w:hAnsi="Invesco Interstate Bold"/>
        <w:sz w:val="28"/>
        <w:szCs w:val="28"/>
      </w:rPr>
      <w:t xml:space="preserve">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D70"/>
    <w:multiLevelType w:val="multilevel"/>
    <w:tmpl w:val="11820CCE"/>
    <w:numStyleLink w:val="FormatvorlageAufgezhlt"/>
  </w:abstractNum>
  <w:abstractNum w:abstractNumId="7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0B23"/>
    <w:multiLevelType w:val="multilevel"/>
    <w:tmpl w:val="11820CCE"/>
    <w:numStyleLink w:val="FormatvorlageAufgezhlt"/>
  </w:abstractNum>
  <w:abstractNum w:abstractNumId="10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F7BE6"/>
    <w:multiLevelType w:val="hybridMultilevel"/>
    <w:tmpl w:val="F8EAB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403C3"/>
    <w:multiLevelType w:val="multilevel"/>
    <w:tmpl w:val="11820CCE"/>
    <w:numStyleLink w:val="FormatvorlageAufgezhlt"/>
  </w:abstractNum>
  <w:abstractNum w:abstractNumId="15" w15:restartNumberingAfterBreak="0">
    <w:nsid w:val="6C6C4721"/>
    <w:multiLevelType w:val="multilevel"/>
    <w:tmpl w:val="11820CCE"/>
    <w:numStyleLink w:val="FormatvorlageAufgezhlt"/>
  </w:abstractNum>
  <w:abstractNum w:abstractNumId="16" w15:restartNumberingAfterBreak="0">
    <w:nsid w:val="74E5380B"/>
    <w:multiLevelType w:val="multilevel"/>
    <w:tmpl w:val="11820CCE"/>
    <w:numStyleLink w:val="FormatvorlageAufgezhlt"/>
  </w:abstractNum>
  <w:abstractNum w:abstractNumId="17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27549">
    <w:abstractNumId w:val="0"/>
  </w:num>
  <w:num w:numId="2" w16cid:durableId="1756514422">
    <w:abstractNumId w:val="7"/>
  </w:num>
  <w:num w:numId="3" w16cid:durableId="1018385507">
    <w:abstractNumId w:val="11"/>
  </w:num>
  <w:num w:numId="4" w16cid:durableId="1827627993">
    <w:abstractNumId w:val="8"/>
  </w:num>
  <w:num w:numId="5" w16cid:durableId="1045980682">
    <w:abstractNumId w:val="9"/>
  </w:num>
  <w:num w:numId="6" w16cid:durableId="233898162">
    <w:abstractNumId w:val="14"/>
  </w:num>
  <w:num w:numId="7" w16cid:durableId="354037280">
    <w:abstractNumId w:val="15"/>
  </w:num>
  <w:num w:numId="8" w16cid:durableId="1069617806">
    <w:abstractNumId w:val="1"/>
  </w:num>
  <w:num w:numId="9" w16cid:durableId="846021257">
    <w:abstractNumId w:val="16"/>
  </w:num>
  <w:num w:numId="10" w16cid:durableId="1441952391">
    <w:abstractNumId w:val="6"/>
  </w:num>
  <w:num w:numId="11" w16cid:durableId="201014381">
    <w:abstractNumId w:val="3"/>
  </w:num>
  <w:num w:numId="12" w16cid:durableId="1103376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319395">
    <w:abstractNumId w:val="17"/>
  </w:num>
  <w:num w:numId="14" w16cid:durableId="1040126726">
    <w:abstractNumId w:val="18"/>
  </w:num>
  <w:num w:numId="15" w16cid:durableId="638264912">
    <w:abstractNumId w:val="10"/>
  </w:num>
  <w:num w:numId="16" w16cid:durableId="2042582474">
    <w:abstractNumId w:val="4"/>
  </w:num>
  <w:num w:numId="17" w16cid:durableId="2024210764">
    <w:abstractNumId w:val="2"/>
  </w:num>
  <w:num w:numId="18" w16cid:durableId="1690450397">
    <w:abstractNumId w:val="13"/>
  </w:num>
  <w:num w:numId="19" w16cid:durableId="1045527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390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6EBF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70E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1B1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5CE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9D9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909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385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4BA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07ACC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4A4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10D9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.kroh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41AA25-F835-462F-A4A6-BED420410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2022-10-21T08:03:00Z</dcterms:created>
  <dcterms:modified xsi:type="dcterms:W3CDTF">2022-10-21T08:03:00Z</dcterms:modified>
</cp:coreProperties>
</file>